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6C007" w14:textId="77777777" w:rsidR="00342B7E" w:rsidRPr="00342B7E" w:rsidRDefault="00342B7E" w:rsidP="00342B7E">
      <w:pPr>
        <w:pStyle w:val="Heading1"/>
        <w:pBdr>
          <w:top w:val="nil"/>
          <w:left w:val="nil"/>
          <w:bottom w:val="nil"/>
          <w:right w:val="nil"/>
          <w:between w:val="nil"/>
        </w:pBdr>
        <w:tabs>
          <w:tab w:val="left" w:pos="900"/>
        </w:tabs>
        <w:spacing w:before="0" w:line="240" w:lineRule="auto"/>
        <w:ind w:left="900" w:hanging="900"/>
        <w:jc w:val="both"/>
        <w:rPr>
          <w:rFonts w:ascii="GHEA Grapalat" w:eastAsia="Calibri" w:hAnsi="GHEA Grapalat" w:cs="Century Gothic"/>
          <w:b/>
          <w:bCs/>
          <w:iCs/>
          <w:smallCaps/>
          <w:color w:val="auto"/>
          <w:lang w:val="hy-AM"/>
        </w:rPr>
      </w:pPr>
      <w:bookmarkStart w:id="0" w:name="_Toc167725523"/>
      <w:r w:rsidRPr="00342B7E">
        <w:rPr>
          <w:rFonts w:ascii="GHEA Grapalat" w:eastAsia="Calibri" w:hAnsi="GHEA Grapalat" w:cs="Century Gothic"/>
          <w:b/>
          <w:bCs/>
          <w:iCs/>
          <w:smallCaps/>
          <w:color w:val="auto"/>
          <w:lang w:val="hy-AM"/>
        </w:rPr>
        <w:t>Ամփոփագիր</w:t>
      </w:r>
      <w:bookmarkEnd w:id="0"/>
    </w:p>
    <w:p w14:paraId="2DF1BFDC" w14:textId="77777777" w:rsidR="00342B7E" w:rsidRPr="00342B7E" w:rsidRDefault="00342B7E" w:rsidP="00342B7E">
      <w:pPr>
        <w:spacing w:after="0" w:line="240" w:lineRule="auto"/>
        <w:rPr>
          <w:rFonts w:ascii="GHEA Grapalat" w:hAnsi="GHEA Grapalat"/>
          <w:lang w:val="en-US"/>
        </w:rPr>
      </w:pPr>
    </w:p>
    <w:p w14:paraId="2E5A2361" w14:textId="77777777" w:rsidR="00342B7E" w:rsidRPr="00342B7E" w:rsidRDefault="00342B7E" w:rsidP="00342B7E">
      <w:pPr>
        <w:pStyle w:val="ListParagraph"/>
        <w:spacing w:after="0" w:line="240" w:lineRule="auto"/>
        <w:ind w:left="567" w:hanging="567"/>
        <w:jc w:val="both"/>
        <w:rPr>
          <w:rFonts w:ascii="GHEA Grapalat" w:hAnsi="GHEA Grapalat" w:cs="Times New Roman"/>
          <w:i/>
          <w:color w:val="5B9BD5" w:themeColor="accent1"/>
          <w:sz w:val="24"/>
          <w:szCs w:val="24"/>
          <w:lang w:val="hy-AM"/>
        </w:rPr>
      </w:pPr>
      <w:r w:rsidRPr="00342B7E">
        <w:rPr>
          <w:rFonts w:ascii="GHEA Grapalat" w:hAnsi="GHEA Grapalat" w:cs="Times New Roman"/>
          <w:i/>
          <w:color w:val="5B9BD5" w:themeColor="accent1"/>
          <w:sz w:val="24"/>
          <w:szCs w:val="24"/>
          <w:lang w:val="hy-AM"/>
        </w:rPr>
        <w:t xml:space="preserve">Գնահատման հիմնավորումը, շրջանակը, ծածկույթը և կատարման եղանակը </w:t>
      </w:r>
    </w:p>
    <w:p w14:paraId="530C0C84" w14:textId="77777777" w:rsidR="00342B7E" w:rsidRPr="00342B7E" w:rsidRDefault="00342B7E" w:rsidP="00342B7E">
      <w:pPr>
        <w:pStyle w:val="ListParagraph"/>
        <w:spacing w:after="0" w:line="240" w:lineRule="auto"/>
        <w:ind w:left="567" w:hanging="567"/>
        <w:jc w:val="both"/>
        <w:rPr>
          <w:rFonts w:ascii="GHEA Grapalat" w:hAnsi="GHEA Grapalat" w:cs="Times New Roman"/>
          <w:i/>
          <w:color w:val="5B9BD5" w:themeColor="accent1"/>
          <w:sz w:val="24"/>
          <w:szCs w:val="24"/>
          <w:lang w:val="en-US"/>
        </w:rPr>
      </w:pPr>
    </w:p>
    <w:p w14:paraId="1048FA59" w14:textId="77777777" w:rsidR="00342B7E" w:rsidRPr="00342B7E" w:rsidRDefault="00342B7E" w:rsidP="00342B7E">
      <w:pPr>
        <w:pStyle w:val="ListParagraph"/>
        <w:numPr>
          <w:ilvl w:val="0"/>
          <w:numId w:val="1"/>
        </w:numPr>
        <w:spacing w:after="0" w:line="240" w:lineRule="auto"/>
        <w:ind w:left="567" w:hanging="567"/>
        <w:jc w:val="both"/>
        <w:rPr>
          <w:rFonts w:ascii="GHEA Grapalat" w:hAnsi="GHEA Grapalat" w:cs="Times New Roman"/>
          <w:sz w:val="24"/>
          <w:szCs w:val="24"/>
          <w:lang w:val="hy-AM"/>
        </w:rPr>
      </w:pPr>
      <w:r w:rsidRPr="00342B7E">
        <w:rPr>
          <w:rFonts w:ascii="GHEA Grapalat" w:hAnsi="GHEA Grapalat" w:cs="Times New Roman"/>
          <w:sz w:val="24"/>
          <w:szCs w:val="24"/>
          <w:lang w:val="hy-AM"/>
        </w:rPr>
        <w:t>Հանրային հատվածի հաշվապահական հաշվառման գնահատումը</w:t>
      </w:r>
      <w:r w:rsidRPr="00342B7E">
        <w:rPr>
          <w:rFonts w:ascii="GHEA Grapalat" w:hAnsi="GHEA Grapalat" w:cs="Times New Roman"/>
          <w:sz w:val="24"/>
          <w:szCs w:val="24"/>
          <w:lang w:val="en-US"/>
        </w:rPr>
        <w:t xml:space="preserve"> (PULSE) </w:t>
      </w:r>
      <w:r w:rsidRPr="00342B7E">
        <w:rPr>
          <w:rFonts w:ascii="GHEA Grapalat" w:hAnsi="GHEA Grapalat" w:cs="Times New Roman"/>
          <w:sz w:val="24"/>
          <w:szCs w:val="24"/>
          <w:lang w:val="hy-AM"/>
        </w:rPr>
        <w:t xml:space="preserve">նպատակաուղղված է հաշվապահական հաշվառման  արդյունավետ և գործուն համակարգի մշակման հարցում Հայաստանի կառավարությանն օժանդակելուն։ «PULSE» -ը գնահատում է հանրային հատվածի հաշվապահական հաշվառման (ՀՀՀՀ) համակարգի որակը և այս բնագավառում ՀՀ կառավարության իրականացրած բարեփոխումների ընթացքը։ Գնահատմամբ քննության է առնվում հանրային հատվածի համար հաշվեգրման հիմունքով հաշվապահական հաշվառման ստանդարտների հայեցակարգային և փաստացի կիրառման ընթացքը  և մակարդակը և համեմատում հանրային հատվածի հաշվապահական հաշվառման ստանդարտների համապատասխանությունը Հանրային հատվածի հաշվապահական հաշվառման միջազգային ուղենշային ստանդարտներին (ՀՀՀՀՄՍ)։ </w:t>
      </w:r>
    </w:p>
    <w:p w14:paraId="5AB8EC5E" w14:textId="77777777" w:rsidR="00342B7E" w:rsidRPr="00342B7E" w:rsidRDefault="00342B7E" w:rsidP="00342B7E">
      <w:pPr>
        <w:pStyle w:val="ListParagraph"/>
        <w:spacing w:after="0" w:line="240" w:lineRule="auto"/>
        <w:ind w:left="567"/>
        <w:jc w:val="both"/>
        <w:rPr>
          <w:rFonts w:ascii="GHEA Grapalat" w:hAnsi="GHEA Grapalat" w:cs="Times New Roman"/>
          <w:sz w:val="24"/>
          <w:szCs w:val="24"/>
          <w:lang w:val="hy-AM"/>
        </w:rPr>
      </w:pPr>
    </w:p>
    <w:p w14:paraId="0350A94B" w14:textId="77777777" w:rsidR="00342B7E" w:rsidRPr="00342B7E" w:rsidRDefault="00342B7E" w:rsidP="00342B7E">
      <w:pPr>
        <w:pStyle w:val="ListParagraph"/>
        <w:numPr>
          <w:ilvl w:val="0"/>
          <w:numId w:val="1"/>
        </w:numPr>
        <w:spacing w:after="0" w:line="240" w:lineRule="auto"/>
        <w:ind w:left="567" w:hanging="567"/>
        <w:jc w:val="both"/>
        <w:rPr>
          <w:rFonts w:ascii="GHEA Grapalat" w:hAnsi="GHEA Grapalat" w:cs="Times New Roman"/>
          <w:sz w:val="24"/>
          <w:szCs w:val="24"/>
          <w:lang w:val="hy-AM"/>
        </w:rPr>
      </w:pPr>
      <w:r w:rsidRPr="00342B7E">
        <w:rPr>
          <w:rFonts w:ascii="GHEA Grapalat" w:hAnsi="GHEA Grapalat" w:cs="Times New Roman"/>
          <w:sz w:val="24"/>
          <w:szCs w:val="24"/>
          <w:lang w:val="hy-AM"/>
        </w:rPr>
        <w:t xml:space="preserve">«PULSE» գնահատումը Հայաստանում անցկացվել է առաջին անգամ, որպես փորձնական ծրագիր՝ «PULSE» գործիքի պատրաստվածությունը և արդյունավետությունը պարզելու համար։ </w:t>
      </w:r>
    </w:p>
    <w:p w14:paraId="487B5F3D" w14:textId="77777777" w:rsidR="00342B7E" w:rsidRPr="00342B7E" w:rsidRDefault="00342B7E" w:rsidP="00342B7E">
      <w:pPr>
        <w:spacing w:after="0" w:line="240" w:lineRule="auto"/>
        <w:jc w:val="both"/>
        <w:rPr>
          <w:rFonts w:ascii="GHEA Grapalat" w:hAnsi="GHEA Grapalat" w:cs="Times New Roman"/>
          <w:sz w:val="24"/>
          <w:szCs w:val="24"/>
          <w:lang w:val="hy-AM"/>
        </w:rPr>
      </w:pPr>
    </w:p>
    <w:p w14:paraId="40017B75" w14:textId="77777777" w:rsidR="00342B7E" w:rsidRPr="00342B7E" w:rsidRDefault="00342B7E" w:rsidP="00342B7E">
      <w:pPr>
        <w:pStyle w:val="ListParagraph"/>
        <w:numPr>
          <w:ilvl w:val="0"/>
          <w:numId w:val="1"/>
        </w:numPr>
        <w:spacing w:after="0" w:line="240" w:lineRule="auto"/>
        <w:ind w:left="567" w:hanging="567"/>
        <w:jc w:val="both"/>
        <w:rPr>
          <w:rFonts w:ascii="GHEA Grapalat" w:hAnsi="GHEA Grapalat" w:cs="Times New Roman"/>
          <w:sz w:val="24"/>
          <w:szCs w:val="24"/>
          <w:lang w:val="hy-AM"/>
        </w:rPr>
      </w:pPr>
      <w:r w:rsidRPr="00342B7E">
        <w:rPr>
          <w:rFonts w:ascii="GHEA Grapalat" w:hAnsi="GHEA Grapalat" w:cs="Times New Roman"/>
          <w:sz w:val="24"/>
          <w:szCs w:val="24"/>
          <w:lang w:val="hy-AM"/>
        </w:rPr>
        <w:t xml:space="preserve">«PULSE» գնահատման գործիքն ընդգրկում է կազմակերպական և հաշվապահական հաշվառման արդյունավետության վեց բաղադրիչ, որոնք ապահովում են հանրային հատվածում ֆինանսական հաշվետվությունների տվյալների թափանցիկությունը և հուսալիությունը։ Վերլուծված ուղղությունների թվում են՝ ՀՀՀՀ իրավական կարգավորումը, ֆինանսական և ոչ ֆինանսական ակտիվների և պարտավորությունների հաշվառումը, ծախսերի և եկամուտների հաշվառումը, ֆինանսական հաշվետվությունների պատրաստման և համախմբման համակարգերը և ՀՀՀՀ համակարգի բարեփոխումների դինամիկան և դրա վրա ազդող գործոնները։  </w:t>
      </w:r>
    </w:p>
    <w:p w14:paraId="13EA0F3F" w14:textId="77777777" w:rsidR="00342B7E" w:rsidRPr="00342B7E" w:rsidRDefault="00342B7E" w:rsidP="00342B7E">
      <w:pPr>
        <w:pStyle w:val="ListParagraph"/>
        <w:numPr>
          <w:ilvl w:val="0"/>
          <w:numId w:val="1"/>
        </w:numPr>
        <w:spacing w:before="240" w:after="0" w:line="240" w:lineRule="auto"/>
        <w:ind w:left="562" w:hanging="562"/>
        <w:contextualSpacing w:val="0"/>
        <w:jc w:val="both"/>
        <w:rPr>
          <w:rFonts w:ascii="GHEA Grapalat" w:hAnsi="GHEA Grapalat" w:cs="Times New Roman"/>
          <w:sz w:val="24"/>
          <w:szCs w:val="24"/>
          <w:lang w:val="hy-AM"/>
        </w:rPr>
      </w:pPr>
      <w:r w:rsidRPr="00342B7E">
        <w:rPr>
          <w:rFonts w:ascii="GHEA Grapalat" w:hAnsi="GHEA Grapalat" w:cs="Times New Roman"/>
          <w:sz w:val="24"/>
          <w:szCs w:val="24"/>
          <w:lang w:val="hy-AM"/>
        </w:rPr>
        <w:t>Գնահատումը կատարվել է՝ հիմք ընդունելով «PULSE 2021» Հիմունքների մեթոդաբանությունը։</w:t>
      </w:r>
      <w:r w:rsidRPr="00342B7E">
        <w:rPr>
          <w:rStyle w:val="FootnoteReference"/>
          <w:rFonts w:ascii="GHEA Grapalat" w:hAnsi="GHEA Grapalat" w:cs="Times New Roman"/>
          <w:sz w:val="24"/>
          <w:szCs w:val="24"/>
          <w:lang w:val="en-US"/>
        </w:rPr>
        <w:footnoteReference w:id="1"/>
      </w:r>
      <w:r w:rsidRPr="00342B7E">
        <w:rPr>
          <w:rFonts w:ascii="GHEA Grapalat" w:hAnsi="GHEA Grapalat" w:cs="Times New Roman"/>
          <w:sz w:val="24"/>
          <w:szCs w:val="24"/>
          <w:lang w:val="hy-AM"/>
        </w:rPr>
        <w:t xml:space="preserve"> «PULSE» գործընթացի առանցքում կատարողականի 29 ցուցիչների գնահատումն է, որոնք իրենց հերթին բաղկացած են 102 բաղադրիչից։ Գնահատականը և գնահատման մեթոդաբանությունը յուրաքանչյուր բաղադրիչի համար ներառում է «A»-ից «D»  գնահատականների միջև ընկած չորս բալանոց ճշգրտման սանդղակ։</w:t>
      </w:r>
    </w:p>
    <w:p w14:paraId="1557B244" w14:textId="77777777" w:rsidR="00342B7E" w:rsidRPr="00342B7E" w:rsidRDefault="00342B7E" w:rsidP="00342B7E">
      <w:pPr>
        <w:pStyle w:val="ListParagraph"/>
        <w:spacing w:after="0" w:line="240" w:lineRule="auto"/>
        <w:ind w:left="567"/>
        <w:jc w:val="both"/>
        <w:rPr>
          <w:rFonts w:ascii="GHEA Grapalat" w:hAnsi="GHEA Grapalat" w:cs="Times New Roman"/>
          <w:sz w:val="24"/>
          <w:szCs w:val="24"/>
          <w:lang w:val="hy-AM"/>
        </w:rPr>
      </w:pPr>
    </w:p>
    <w:p w14:paraId="605E8E07" w14:textId="77777777" w:rsidR="00342B7E" w:rsidRPr="00800778" w:rsidRDefault="00342B7E" w:rsidP="00800778">
      <w:pPr>
        <w:spacing w:after="0" w:line="240" w:lineRule="auto"/>
        <w:jc w:val="both"/>
        <w:rPr>
          <w:rFonts w:ascii="GHEA Grapalat" w:hAnsi="GHEA Grapalat" w:cs="Times New Roman"/>
          <w:i/>
          <w:color w:val="5B9BD5" w:themeColor="accent1"/>
          <w:sz w:val="24"/>
          <w:szCs w:val="24"/>
          <w:lang w:val="hy-AM"/>
        </w:rPr>
      </w:pPr>
      <w:r w:rsidRPr="00800778">
        <w:rPr>
          <w:rFonts w:ascii="GHEA Grapalat" w:hAnsi="GHEA Grapalat" w:cs="Times New Roman"/>
          <w:i/>
          <w:color w:val="5B9BD5" w:themeColor="accent1"/>
          <w:sz w:val="24"/>
          <w:szCs w:val="24"/>
          <w:lang w:val="hy-AM"/>
        </w:rPr>
        <w:t>ՀՀՀՀ համակարգի արդյունավետության վերաբերյալ հիմնական եզրահանգումների ամփոփ նկարագիրը</w:t>
      </w:r>
    </w:p>
    <w:p w14:paraId="267B8CA5" w14:textId="77777777" w:rsidR="00342B7E" w:rsidRPr="00342B7E" w:rsidRDefault="00342B7E" w:rsidP="00342B7E">
      <w:pPr>
        <w:pStyle w:val="ListParagraph"/>
        <w:spacing w:after="0" w:line="240" w:lineRule="auto"/>
        <w:ind w:left="567" w:hanging="567"/>
        <w:jc w:val="both"/>
        <w:rPr>
          <w:rFonts w:ascii="GHEA Grapalat" w:hAnsi="GHEA Grapalat" w:cs="Times New Roman"/>
          <w:i/>
          <w:color w:val="5B9BD5" w:themeColor="accent1"/>
          <w:sz w:val="24"/>
          <w:szCs w:val="24"/>
          <w:lang w:val="hy-AM"/>
        </w:rPr>
      </w:pPr>
    </w:p>
    <w:p w14:paraId="6CCF5135" w14:textId="77777777" w:rsidR="00342B7E" w:rsidRPr="00342B7E" w:rsidRDefault="00342B7E" w:rsidP="00342B7E">
      <w:pPr>
        <w:numPr>
          <w:ilvl w:val="0"/>
          <w:numId w:val="1"/>
        </w:numPr>
        <w:spacing w:after="0" w:line="240" w:lineRule="auto"/>
        <w:ind w:left="567" w:hanging="567"/>
        <w:contextualSpacing/>
        <w:jc w:val="both"/>
        <w:rPr>
          <w:rFonts w:ascii="GHEA Grapalat" w:hAnsi="GHEA Grapalat" w:cs="Times New Roman"/>
          <w:sz w:val="24"/>
          <w:szCs w:val="24"/>
          <w:lang w:val="hy-AM"/>
        </w:rPr>
      </w:pPr>
      <w:r w:rsidRPr="00342B7E">
        <w:rPr>
          <w:rFonts w:ascii="GHEA Grapalat" w:hAnsi="GHEA Grapalat" w:cs="Times New Roman"/>
          <w:sz w:val="24"/>
          <w:szCs w:val="24"/>
          <w:lang w:val="hy-AM"/>
        </w:rPr>
        <w:t>Հայաստանում ՀՀՀՀ բարեփոխումները ընթացքում են, ընդ որում ներկա շեշտադրումը համախմբման վրա է։ Օրենսդրությամբ հավակնոտ ժամկետներ են սահմանվում բարեփոխումների յուրաքանչյուր փուլի արդյունքներին հասնելու համար</w:t>
      </w:r>
      <w:r w:rsidRPr="00342B7E">
        <w:rPr>
          <w:rFonts w:ascii="Cambria Math" w:hAnsi="Cambria Math" w:cs="Cambria Math"/>
          <w:sz w:val="24"/>
          <w:szCs w:val="24"/>
          <w:lang w:val="hy-AM"/>
        </w:rPr>
        <w:t>․</w:t>
      </w:r>
      <w:r w:rsidRPr="00342B7E">
        <w:rPr>
          <w:rFonts w:ascii="GHEA Grapalat" w:hAnsi="GHEA Grapalat" w:cs="Times New Roman"/>
          <w:sz w:val="24"/>
          <w:szCs w:val="24"/>
          <w:lang w:val="hy-AM"/>
        </w:rPr>
        <w:t xml:space="preserve"> հաջորդ նպատակակետը նախարարությունների մ</w:t>
      </w:r>
      <w:bookmarkStart w:id="1" w:name="_GoBack"/>
      <w:bookmarkEnd w:id="1"/>
      <w:r w:rsidRPr="00342B7E">
        <w:rPr>
          <w:rFonts w:ascii="GHEA Grapalat" w:hAnsi="GHEA Grapalat" w:cs="Times New Roman"/>
          <w:sz w:val="24"/>
          <w:szCs w:val="24"/>
          <w:lang w:val="hy-AM"/>
        </w:rPr>
        <w:t>ակարդակով համախմբված ֆինանսական հաշվետվությունների պատրաստումն է։</w:t>
      </w:r>
    </w:p>
    <w:p w14:paraId="686B5217" w14:textId="77777777" w:rsidR="00342B7E" w:rsidRPr="00342B7E" w:rsidRDefault="00342B7E" w:rsidP="00342B7E">
      <w:pPr>
        <w:spacing w:after="0" w:line="240" w:lineRule="auto"/>
        <w:contextualSpacing/>
        <w:jc w:val="both"/>
        <w:rPr>
          <w:rFonts w:ascii="GHEA Grapalat" w:hAnsi="GHEA Grapalat" w:cs="Times New Roman"/>
          <w:sz w:val="24"/>
          <w:szCs w:val="24"/>
          <w:lang w:val="hy-AM"/>
        </w:rPr>
      </w:pPr>
    </w:p>
    <w:p w14:paraId="783935A9" w14:textId="77777777" w:rsidR="00342B7E" w:rsidRPr="00342B7E" w:rsidRDefault="00342B7E" w:rsidP="00342B7E">
      <w:pPr>
        <w:numPr>
          <w:ilvl w:val="0"/>
          <w:numId w:val="1"/>
        </w:numPr>
        <w:spacing w:after="0" w:line="240" w:lineRule="auto"/>
        <w:ind w:left="567" w:hanging="567"/>
        <w:contextualSpacing/>
        <w:jc w:val="both"/>
        <w:rPr>
          <w:rFonts w:ascii="GHEA Grapalat" w:eastAsia="Times New Roman" w:hAnsi="GHEA Grapalat" w:cs="Times New Roman"/>
          <w:color w:val="333333"/>
          <w:sz w:val="24"/>
          <w:szCs w:val="24"/>
          <w:lang w:val="hy-AM"/>
        </w:rPr>
      </w:pPr>
      <w:r w:rsidRPr="00342B7E">
        <w:rPr>
          <w:rFonts w:ascii="GHEA Grapalat" w:hAnsi="GHEA Grapalat" w:cs="Times New Roman"/>
          <w:sz w:val="24"/>
          <w:szCs w:val="24"/>
          <w:lang w:val="hy-AM"/>
        </w:rPr>
        <w:lastRenderedPageBreak/>
        <w:t>«PULSE»  գնահատումը Հայաստանի ՀՀՀՀ-ի, ներառյալ՝ հաշվապահական հաշվառման օրենսդրության հայեցակարգային և գործնական կիրառությանը արժանացրել է ընդհանուր «B» գնահատականի (</w:t>
      </w:r>
      <w:r w:rsidRPr="00342B7E">
        <w:rPr>
          <w:rFonts w:ascii="GHEA Grapalat" w:hAnsi="GHEA Grapalat" w:cs="Times New Roman"/>
          <w:i/>
          <w:iCs/>
          <w:sz w:val="24"/>
          <w:szCs w:val="24"/>
          <w:lang w:val="hy-AM"/>
        </w:rPr>
        <w:t>համապատասխանության բարձր աստիճան, սակայն պահպանվում են ՀՀՀՀՄՍ պահանջների մասով որոշ բացեր)</w:t>
      </w:r>
      <w:r w:rsidRPr="00342B7E">
        <w:rPr>
          <w:rFonts w:ascii="GHEA Grapalat" w:hAnsi="GHEA Grapalat" w:cs="Times New Roman"/>
          <w:sz w:val="24"/>
          <w:szCs w:val="24"/>
          <w:lang w:val="hy-AM"/>
        </w:rPr>
        <w:t>։ Նման բարձր գնահատականը ձեռք է բերվել մի խումբ նշանակալի միջոցառումների շնորհիվ, որոնք վերջին տասնամյակի ընթացքում իրականացվել են Հայաստանում։ Նման մոտեցում է նախատեսվում ՀՀՀՀ արդիականացման հաջորդ փուլի համար։</w:t>
      </w:r>
    </w:p>
    <w:p w14:paraId="45CC9785" w14:textId="77777777" w:rsidR="00342B7E" w:rsidRPr="00342B7E" w:rsidRDefault="00342B7E" w:rsidP="00342B7E">
      <w:pPr>
        <w:pStyle w:val="ListParagraph"/>
        <w:spacing w:after="0" w:line="240" w:lineRule="auto"/>
        <w:rPr>
          <w:rFonts w:ascii="GHEA Grapalat" w:eastAsia="Times New Roman" w:hAnsi="GHEA Grapalat" w:cs="Times New Roman"/>
          <w:color w:val="333333"/>
          <w:sz w:val="24"/>
          <w:szCs w:val="24"/>
          <w:lang w:val="hy-AM"/>
        </w:rPr>
      </w:pPr>
    </w:p>
    <w:p w14:paraId="54DD9E5C" w14:textId="77777777" w:rsidR="00342B7E" w:rsidRPr="00342B7E" w:rsidRDefault="00342B7E" w:rsidP="00342B7E">
      <w:pPr>
        <w:numPr>
          <w:ilvl w:val="0"/>
          <w:numId w:val="1"/>
        </w:numPr>
        <w:spacing w:after="0" w:line="240" w:lineRule="auto"/>
        <w:ind w:left="567" w:hanging="567"/>
        <w:contextualSpacing/>
        <w:jc w:val="both"/>
        <w:rPr>
          <w:rFonts w:ascii="GHEA Grapalat" w:hAnsi="GHEA Grapalat" w:cs="Times New Roman"/>
          <w:sz w:val="24"/>
          <w:szCs w:val="24"/>
          <w:lang w:val="hy-AM"/>
        </w:rPr>
      </w:pPr>
      <w:r w:rsidRPr="00342B7E">
        <w:rPr>
          <w:rFonts w:ascii="GHEA Grapalat" w:hAnsi="GHEA Grapalat" w:cs="Times New Roman"/>
          <w:sz w:val="24"/>
          <w:szCs w:val="24"/>
          <w:lang w:val="hy-AM"/>
        </w:rPr>
        <w:t>Բարեփոխումների առաջընթացը հատկապես արտացոլված է I՝ «ՀՀՀՀ շրջանակ» հենասյան  բարձր («A») և III՝ «Ոչ ֆինանսական ակտիվներ և պարտավորություններ» և  IV՝ «Ծախսերի և հասույթների ճանաչում»  հենասյուների (երկու բաժնի համար էլ՝ «B+») «PULSE» գնահատման գնահատականներում (պատկեր 1)։</w:t>
      </w:r>
    </w:p>
    <w:p w14:paraId="55110F7B" w14:textId="77777777" w:rsidR="00342B7E" w:rsidRPr="00342B7E" w:rsidRDefault="00342B7E" w:rsidP="00342B7E">
      <w:pPr>
        <w:pStyle w:val="ListParagraph"/>
        <w:spacing w:after="0" w:line="240" w:lineRule="auto"/>
        <w:rPr>
          <w:rFonts w:ascii="GHEA Grapalat" w:hAnsi="GHEA Grapalat" w:cs="Times New Roman"/>
          <w:sz w:val="24"/>
          <w:szCs w:val="24"/>
          <w:lang w:val="hy-AM"/>
        </w:rPr>
      </w:pPr>
    </w:p>
    <w:p w14:paraId="0B85C727" w14:textId="77777777" w:rsidR="00800778" w:rsidRDefault="00342B7E" w:rsidP="00342B7E">
      <w:pPr>
        <w:spacing w:after="0" w:line="240" w:lineRule="auto"/>
        <w:ind w:left="567"/>
        <w:contextualSpacing/>
        <w:rPr>
          <w:rFonts w:ascii="GHEA Grapalat" w:hAnsi="GHEA Grapalat" w:cs="Times New Roman"/>
          <w:b/>
          <w:bCs/>
          <w:sz w:val="24"/>
          <w:szCs w:val="24"/>
          <w:lang w:val="hy-AM"/>
        </w:rPr>
      </w:pPr>
      <w:r w:rsidRPr="00342B7E">
        <w:rPr>
          <w:rFonts w:ascii="GHEA Grapalat" w:hAnsi="GHEA Grapalat" w:cs="Times New Roman"/>
          <w:b/>
          <w:bCs/>
          <w:sz w:val="24"/>
          <w:szCs w:val="24"/>
          <w:lang w:val="hy-AM"/>
        </w:rPr>
        <w:t xml:space="preserve">Պատկեր 1. Հայաստանի «PULSE» գնահատման գնահատականներն՝ ըստ հենասյուների  </w:t>
      </w:r>
    </w:p>
    <w:p w14:paraId="7B19425E" w14:textId="77777777" w:rsidR="00800778" w:rsidRDefault="00800778" w:rsidP="00342B7E">
      <w:pPr>
        <w:spacing w:after="0" w:line="240" w:lineRule="auto"/>
        <w:ind w:left="567"/>
        <w:contextualSpacing/>
        <w:rPr>
          <w:rFonts w:ascii="GHEA Grapalat" w:hAnsi="GHEA Grapalat" w:cs="Times New Roman"/>
          <w:b/>
          <w:bCs/>
          <w:sz w:val="24"/>
          <w:szCs w:val="24"/>
          <w:lang w:val="hy-AM"/>
        </w:rPr>
      </w:pPr>
    </w:p>
    <w:p w14:paraId="26B5C2BD" w14:textId="2635DAD7" w:rsidR="00342B7E" w:rsidRPr="00342B7E" w:rsidRDefault="00342B7E" w:rsidP="00342B7E">
      <w:pPr>
        <w:spacing w:after="0" w:line="240" w:lineRule="auto"/>
        <w:ind w:left="567"/>
        <w:contextualSpacing/>
        <w:rPr>
          <w:rFonts w:ascii="GHEA Grapalat" w:hAnsi="GHEA Grapalat" w:cs="Times New Roman"/>
          <w:b/>
          <w:bCs/>
          <w:sz w:val="24"/>
          <w:szCs w:val="24"/>
          <w:lang w:val="hy-AM"/>
        </w:rPr>
      </w:pPr>
      <w:r w:rsidRPr="00342B7E">
        <w:rPr>
          <w:rFonts w:ascii="GHEA Grapalat" w:hAnsi="GHEA Grapalat"/>
          <w:noProof/>
          <w:lang w:val="en-US"/>
        </w:rPr>
        <w:drawing>
          <wp:inline distT="0" distB="0" distL="0" distR="0" wp14:anchorId="01B2BEB7" wp14:editId="3693DABB">
            <wp:extent cx="6052782" cy="2521585"/>
            <wp:effectExtent l="0" t="0" r="5715" b="120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5FCA707" w14:textId="77777777" w:rsidR="00342B7E" w:rsidRPr="00342B7E" w:rsidRDefault="00342B7E" w:rsidP="00342B7E">
      <w:pPr>
        <w:spacing w:after="0" w:line="240" w:lineRule="auto"/>
        <w:ind w:left="567"/>
        <w:contextualSpacing/>
        <w:jc w:val="center"/>
        <w:rPr>
          <w:rFonts w:ascii="GHEA Grapalat" w:hAnsi="GHEA Grapalat" w:cs="Times New Roman"/>
          <w:b/>
          <w:bCs/>
          <w:sz w:val="24"/>
          <w:szCs w:val="24"/>
          <w:lang w:val="hy-AM"/>
        </w:rPr>
      </w:pPr>
    </w:p>
    <w:p w14:paraId="68A06D44" w14:textId="77777777" w:rsidR="00342B7E" w:rsidRPr="00342B7E" w:rsidRDefault="00342B7E" w:rsidP="00342B7E">
      <w:pPr>
        <w:pStyle w:val="ListParagraph"/>
        <w:numPr>
          <w:ilvl w:val="0"/>
          <w:numId w:val="1"/>
        </w:numPr>
        <w:shd w:val="clear" w:color="auto" w:fill="FFFFFF"/>
        <w:spacing w:after="0" w:line="240" w:lineRule="auto"/>
        <w:ind w:left="567" w:hanging="567"/>
        <w:jc w:val="both"/>
        <w:rPr>
          <w:rFonts w:ascii="GHEA Grapalat" w:hAnsi="GHEA Grapalat" w:cs="Times New Roman"/>
          <w:sz w:val="24"/>
          <w:szCs w:val="24"/>
          <w:lang w:val="hy-AM"/>
        </w:rPr>
      </w:pPr>
      <w:r w:rsidRPr="00342B7E">
        <w:rPr>
          <w:rFonts w:ascii="GHEA Grapalat" w:hAnsi="GHEA Grapalat" w:cs="Times New Roman"/>
          <w:sz w:val="24"/>
          <w:szCs w:val="24"/>
          <w:lang w:val="hy-AM"/>
        </w:rPr>
        <w:t xml:space="preserve">Համեմատական մանրակրկիտ վերլուծությամբ հաստատվել է Հայաստանի Հանրապետության հանրային հատվածի հաշվապահական հաշվառման ստանդարտների (ՀՀՀՀՀՀՍ) համապատասխանության բարձր մակարդակը ՀՀՀՀՄՍ-ի սկզբունքներին, հատկապես՝ ոչ ֆինանսական ակտիվների և պարտավորությունների, հասույթների և ծախսերի հաշվառման և ֆինանսական հաշվետվությունների պատրաստման և ներկայացման առումով (III հենասյունը՝ «Ոչ ֆինանսական ակտիվներ և պարտավորություններ», «B+» է գնահատվել)։ Սույն հենասյան գնահատականը լրացուցիչ կբարելավվի, երբ ՀՀՀՀՀՀՍ-ին ավելացվեն նյութական ակտիվների արժեզրկման դրույթները (PI-15)։ </w:t>
      </w:r>
    </w:p>
    <w:p w14:paraId="6D8CAC9B" w14:textId="77777777" w:rsidR="00342B7E" w:rsidRPr="00342B7E" w:rsidRDefault="00342B7E" w:rsidP="00342B7E">
      <w:pPr>
        <w:spacing w:after="0" w:line="240" w:lineRule="auto"/>
        <w:contextualSpacing/>
        <w:rPr>
          <w:rFonts w:ascii="GHEA Grapalat" w:hAnsi="GHEA Grapalat" w:cs="Times New Roman"/>
          <w:sz w:val="24"/>
          <w:szCs w:val="24"/>
          <w:lang w:val="hy-AM"/>
        </w:rPr>
      </w:pPr>
    </w:p>
    <w:p w14:paraId="48C6AD85" w14:textId="77777777" w:rsidR="00342B7E" w:rsidRPr="00342B7E" w:rsidRDefault="00342B7E" w:rsidP="00342B7E">
      <w:pPr>
        <w:pStyle w:val="ListParagraph"/>
        <w:numPr>
          <w:ilvl w:val="0"/>
          <w:numId w:val="1"/>
        </w:numPr>
        <w:shd w:val="clear" w:color="auto" w:fill="FFFFFF"/>
        <w:spacing w:after="0" w:line="240" w:lineRule="auto"/>
        <w:ind w:left="567" w:hanging="567"/>
        <w:jc w:val="both"/>
        <w:rPr>
          <w:rFonts w:ascii="GHEA Grapalat" w:hAnsi="GHEA Grapalat" w:cs="Times New Roman"/>
          <w:sz w:val="24"/>
          <w:szCs w:val="24"/>
          <w:lang w:val="hy-AM"/>
        </w:rPr>
      </w:pPr>
      <w:r w:rsidRPr="00342B7E">
        <w:rPr>
          <w:rFonts w:ascii="GHEA Grapalat" w:hAnsi="GHEA Grapalat" w:cs="Times New Roman"/>
          <w:sz w:val="24"/>
          <w:szCs w:val="24"/>
          <w:lang w:val="hy-AM"/>
        </w:rPr>
        <w:t xml:space="preserve">II՝ «Ֆինանսական ակտիվներ և պարտավորություններ» հենասյան  «C+» գնահատականն արտացոլում է ֆինանսական գործիքների մասով ՀՀՀՀՄՍ և ՀՀՀՀՀՀՍ միջև սոսկ մասնակի համապատասխանությունը՝ պայմանավորված ֆինանսական ակտիվների դասակարգման տարբերություններով։ ՀՀՀՀՀՀՍ համաձայն՝ ֆինանսական ակտիվները դասակարգվում են երկու խմբում՝ (i)  ամորտիզացված արժեքով հաշվառվող ֆինանսական ակտիվներ և (ii) իրական արժեքով հաշվառվող ֆինանսական ակտիվներ։  Երկրորդ խումբը ներառում է բոլոր </w:t>
      </w:r>
      <w:r w:rsidRPr="00342B7E">
        <w:rPr>
          <w:rFonts w:ascii="GHEA Grapalat" w:hAnsi="GHEA Grapalat" w:cs="Times New Roman"/>
          <w:sz w:val="24"/>
          <w:szCs w:val="24"/>
          <w:lang w:val="hy-AM"/>
        </w:rPr>
        <w:lastRenderedPageBreak/>
        <w:t xml:space="preserve">ֆինանսական ակտիվները, որոնք ամորտիզացված արժեքով չեն չափվում։ Ուստի, իրական արժեքով՝ զուտ ակտիվների միջոցով չափվող ֆինանսական ակտիվները ներառված են իրական արժեքով՝ հավելուրդի/պակասուրդի միջոցով հաշվառվող ֆինանսական ակտիվների գործողության շրջանակում։ Կորուստների գծով պահուստների հաշվապահական հաշվառման մոտեցմամբ հաշվի չեն առնվում ակտիվի ակնկալվող կորուստները  (PI-6.3 «D»), ինչպես նաև հաշվանցումների հետ կապված բացահայտումների բացակայությունը  (PI-7.2 «D»)։ </w:t>
      </w:r>
    </w:p>
    <w:p w14:paraId="08FBA0DC" w14:textId="77777777" w:rsidR="00342B7E" w:rsidRPr="00342B7E" w:rsidRDefault="00342B7E" w:rsidP="00342B7E">
      <w:pPr>
        <w:pStyle w:val="ListParagraph"/>
        <w:spacing w:after="0" w:line="240" w:lineRule="auto"/>
        <w:rPr>
          <w:rFonts w:ascii="GHEA Grapalat" w:hAnsi="GHEA Grapalat" w:cs="Times New Roman"/>
          <w:sz w:val="24"/>
          <w:szCs w:val="24"/>
          <w:lang w:val="hy-AM"/>
        </w:rPr>
      </w:pPr>
    </w:p>
    <w:p w14:paraId="3856CDB9" w14:textId="77777777" w:rsidR="00342B7E" w:rsidRPr="00342B7E" w:rsidRDefault="00342B7E" w:rsidP="00342B7E">
      <w:pPr>
        <w:pStyle w:val="ListParagraph"/>
        <w:numPr>
          <w:ilvl w:val="0"/>
          <w:numId w:val="1"/>
        </w:numPr>
        <w:shd w:val="clear" w:color="auto" w:fill="FFFFFF"/>
        <w:spacing w:after="0" w:line="240" w:lineRule="auto"/>
        <w:ind w:left="567" w:hanging="567"/>
        <w:jc w:val="both"/>
        <w:rPr>
          <w:rFonts w:ascii="GHEA Grapalat" w:hAnsi="GHEA Grapalat" w:cs="Times New Roman"/>
          <w:sz w:val="24"/>
          <w:szCs w:val="24"/>
          <w:lang w:val="hy-AM"/>
        </w:rPr>
      </w:pPr>
      <w:r w:rsidRPr="00342B7E">
        <w:rPr>
          <w:rFonts w:ascii="GHEA Grapalat" w:hAnsi="GHEA Grapalat" w:cs="Times New Roman"/>
          <w:sz w:val="24"/>
          <w:szCs w:val="24"/>
          <w:lang w:val="hy-AM"/>
        </w:rPr>
        <w:t>Նախատեսվում է ՀՀՀՀՀՀՍ-ի վերանայում, որով կբարելավվեն որոշ բաղադրիչների մասով ցածր գնահատականները, օրինակ՝ PI-6.3 և PI-7.2-ը։ Սակայն մյուս բաղադրիչների ցածր գնահատականները, օրինակ՝ PI-4.4՝ իրական արժեքով՝ զուտ ակտիվների/սեփական կապիտալի միջոցով հաշվառվող ֆինանսական ակտիվներ («D») և  PI-5.4՝ ֆինանսական պարտավորություններ չափման այլ հիմունքներով («D») Հայաստանի հաշվապահական հաշվառման միջավայրում փոքր նշանակություն ունեն և հետևաբար այս պահին ՀՀՀՀՀՀՍ-ի վերանայում չի նախատեսվում։</w:t>
      </w:r>
    </w:p>
    <w:p w14:paraId="751EF5B7" w14:textId="77777777" w:rsidR="00342B7E" w:rsidRPr="00342B7E" w:rsidRDefault="00342B7E" w:rsidP="00342B7E">
      <w:pPr>
        <w:pStyle w:val="ListParagraph"/>
        <w:shd w:val="clear" w:color="auto" w:fill="FFFFFF"/>
        <w:spacing w:after="0" w:line="240" w:lineRule="auto"/>
        <w:ind w:left="567"/>
        <w:jc w:val="both"/>
        <w:rPr>
          <w:rFonts w:ascii="GHEA Grapalat" w:hAnsi="GHEA Grapalat" w:cs="Times New Roman"/>
          <w:sz w:val="24"/>
          <w:szCs w:val="24"/>
          <w:lang w:val="hy-AM"/>
        </w:rPr>
      </w:pPr>
    </w:p>
    <w:p w14:paraId="3FC56092" w14:textId="77777777" w:rsidR="00342B7E" w:rsidRPr="00342B7E" w:rsidRDefault="00342B7E" w:rsidP="00342B7E">
      <w:pPr>
        <w:pStyle w:val="ListParagraph"/>
        <w:numPr>
          <w:ilvl w:val="0"/>
          <w:numId w:val="1"/>
        </w:numPr>
        <w:shd w:val="clear" w:color="auto" w:fill="FFFFFF"/>
        <w:spacing w:after="0" w:line="240" w:lineRule="auto"/>
        <w:ind w:left="567" w:hanging="567"/>
        <w:jc w:val="both"/>
        <w:rPr>
          <w:rFonts w:ascii="GHEA Grapalat" w:hAnsi="GHEA Grapalat" w:cs="Times New Roman"/>
          <w:sz w:val="24"/>
          <w:szCs w:val="24"/>
          <w:lang w:val="hy-AM"/>
        </w:rPr>
      </w:pPr>
      <w:r w:rsidRPr="00342B7E">
        <w:rPr>
          <w:rFonts w:ascii="GHEA Grapalat" w:hAnsi="GHEA Grapalat" w:cs="Times New Roman"/>
          <w:sz w:val="24"/>
          <w:szCs w:val="24"/>
          <w:lang w:val="hy-AM"/>
        </w:rPr>
        <w:t xml:space="preserve">Հարկ է նշել նաև, որ որոշ ՀՀՀՀՄՍ-ներ, ինչպիսիք են օրինակ՝ «Սոցիալական նպաստներ» ՀՀՀՀՄՍ 42-ը (PI-20՝ «D»), «Ասոցիացված կազմակերպություններ և համատեղ ձեռնարկումներ» ՀՀՀՀՄՍ 36-ը (PI-23.1՝ «D»), «Հանրային հատվածի միավորումներ» ՀՀՀՀՄՍ 40-ը (PI-23.3՝ «C»), «Բյուջետային տեղեկություններ» ՀՀՀՀՄՍ 24-ը և «Սեգմենտային հաշվետվություններ» ՀՀՀՀՄՍ 18-ը  դեռ ՀՀՀՀՀՀՍ-ով նախատեսված չեն։  </w:t>
      </w:r>
    </w:p>
    <w:p w14:paraId="12169AE2" w14:textId="77777777" w:rsidR="00342B7E" w:rsidRPr="00342B7E" w:rsidRDefault="00342B7E" w:rsidP="00342B7E">
      <w:pPr>
        <w:pStyle w:val="ListParagraph"/>
        <w:shd w:val="clear" w:color="auto" w:fill="FFFFFF"/>
        <w:spacing w:after="0" w:line="240" w:lineRule="auto"/>
        <w:ind w:left="567"/>
        <w:jc w:val="both"/>
        <w:rPr>
          <w:rFonts w:ascii="GHEA Grapalat" w:hAnsi="GHEA Grapalat" w:cs="Times New Roman"/>
          <w:sz w:val="24"/>
          <w:szCs w:val="24"/>
          <w:lang w:val="hy-AM"/>
        </w:rPr>
      </w:pPr>
    </w:p>
    <w:p w14:paraId="08407B6A" w14:textId="77777777" w:rsidR="00342B7E" w:rsidRPr="00342B7E" w:rsidRDefault="00342B7E" w:rsidP="00342B7E">
      <w:pPr>
        <w:pStyle w:val="ListParagraph"/>
        <w:numPr>
          <w:ilvl w:val="0"/>
          <w:numId w:val="1"/>
        </w:numPr>
        <w:shd w:val="clear" w:color="auto" w:fill="FFFFFF"/>
        <w:spacing w:after="0" w:line="240" w:lineRule="auto"/>
        <w:ind w:left="567" w:hanging="567"/>
        <w:jc w:val="both"/>
        <w:rPr>
          <w:rFonts w:ascii="GHEA Grapalat" w:hAnsi="GHEA Grapalat" w:cs="Times New Roman"/>
          <w:sz w:val="24"/>
          <w:szCs w:val="24"/>
          <w:lang w:val="hy-AM"/>
        </w:rPr>
      </w:pPr>
      <w:r w:rsidRPr="00342B7E">
        <w:rPr>
          <w:rFonts w:ascii="GHEA Grapalat" w:hAnsi="GHEA Grapalat" w:cs="Times New Roman"/>
          <w:sz w:val="24"/>
          <w:szCs w:val="24"/>
          <w:lang w:val="hy-AM"/>
        </w:rPr>
        <w:t xml:space="preserve">«PULSE» գնահատման բարձր գնահատականներն արտացոլում են ՀՀՀՀ վերանայված կառուցվածքի սահմանմանն ուղղված մեկ տասնամյակի աշխատանքը։ Այժմ ուշադրության առանցքում կիրառումը և համախմբումն է, մասնավորապես՝ բարեփոխման ջանքերն առանձին կազմակերպություններից դեպի նախարարությունների մակարդակով, և ի վերջո՝ պետության մակարդակով կիրառման տեղափոխումը։  </w:t>
      </w:r>
    </w:p>
    <w:p w14:paraId="2CCB4489" w14:textId="77777777" w:rsidR="00507B20" w:rsidRPr="00342B7E" w:rsidRDefault="00507B20">
      <w:pPr>
        <w:rPr>
          <w:rFonts w:ascii="GHEA Grapalat" w:hAnsi="GHEA Grapalat"/>
          <w:lang w:val="hy-AM"/>
        </w:rPr>
      </w:pPr>
    </w:p>
    <w:sectPr w:rsidR="00507B20" w:rsidRPr="00342B7E" w:rsidSect="00342B7E">
      <w:pgSz w:w="11907" w:h="16840" w:code="9"/>
      <w:pgMar w:top="1134"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884BF" w14:textId="77777777" w:rsidR="00342B7E" w:rsidRDefault="00342B7E" w:rsidP="00342B7E">
      <w:pPr>
        <w:spacing w:after="0" w:line="240" w:lineRule="auto"/>
      </w:pPr>
      <w:r>
        <w:separator/>
      </w:r>
    </w:p>
  </w:endnote>
  <w:endnote w:type="continuationSeparator" w:id="0">
    <w:p w14:paraId="4D364128" w14:textId="77777777" w:rsidR="00342B7E" w:rsidRDefault="00342B7E" w:rsidP="00342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F4677" w14:textId="77777777" w:rsidR="00342B7E" w:rsidRDefault="00342B7E" w:rsidP="00342B7E">
      <w:pPr>
        <w:spacing w:after="0" w:line="240" w:lineRule="auto"/>
      </w:pPr>
      <w:r>
        <w:separator/>
      </w:r>
    </w:p>
  </w:footnote>
  <w:footnote w:type="continuationSeparator" w:id="0">
    <w:p w14:paraId="1207B537" w14:textId="77777777" w:rsidR="00342B7E" w:rsidRDefault="00342B7E" w:rsidP="00342B7E">
      <w:pPr>
        <w:spacing w:after="0" w:line="240" w:lineRule="auto"/>
      </w:pPr>
      <w:r>
        <w:continuationSeparator/>
      </w:r>
    </w:p>
  </w:footnote>
  <w:footnote w:id="1">
    <w:p w14:paraId="3305EB35" w14:textId="77777777" w:rsidR="00342B7E" w:rsidRPr="00F44E52" w:rsidRDefault="00342B7E" w:rsidP="00342B7E">
      <w:pPr>
        <w:pStyle w:val="FootnoteText"/>
        <w:rPr>
          <w:rFonts w:ascii="Sylfaen" w:hAnsi="Sylfaen"/>
          <w:lang w:val="hy-AM"/>
        </w:rPr>
      </w:pPr>
      <w:r w:rsidRPr="00F44E52">
        <w:rPr>
          <w:rStyle w:val="FootnoteReference"/>
          <w:rFonts w:ascii="Sylfaen" w:hAnsi="Sylfaen"/>
          <w:sz w:val="20"/>
          <w:szCs w:val="28"/>
        </w:rPr>
        <w:footnoteRef/>
      </w:r>
      <w:r w:rsidRPr="000A4B25">
        <w:rPr>
          <w:rFonts w:ascii="Sylfaen" w:hAnsi="Sylfaen"/>
          <w:sz w:val="18"/>
          <w:szCs w:val="18"/>
          <w:lang w:val="hy-AM"/>
        </w:rPr>
        <w:t xml:space="preserve"> </w:t>
      </w:r>
      <w:r w:rsidRPr="000A4B25">
        <w:rPr>
          <w:rFonts w:ascii="GHEA Grapalat" w:hAnsi="GHEA Grapalat"/>
          <w:sz w:val="18"/>
          <w:szCs w:val="18"/>
          <w:lang w:val="hy-AM"/>
        </w:rPr>
        <w:t>Հասանելի է</w:t>
      </w:r>
      <w:r w:rsidRPr="000A4B25">
        <w:rPr>
          <w:rFonts w:ascii="Sylfaen" w:hAnsi="Sylfaen"/>
          <w:sz w:val="18"/>
          <w:szCs w:val="18"/>
          <w:lang w:val="hy-AM"/>
        </w:rPr>
        <w:t xml:space="preserve"> </w:t>
      </w:r>
      <w:hyperlink r:id="rId1" w:history="1">
        <w:r w:rsidRPr="000A4B25">
          <w:rPr>
            <w:rStyle w:val="Hyperlink"/>
            <w:rFonts w:ascii="Sylfaen" w:hAnsi="Sylfaen"/>
            <w:sz w:val="18"/>
            <w:szCs w:val="18"/>
            <w:lang w:val="hy-AM"/>
          </w:rPr>
          <w:t>https://cfrr.worldbank.org/sites/default/files/2024-04/pulse_report_final_gov2021.pdf</w:t>
        </w:r>
      </w:hyperlink>
      <w:r w:rsidRPr="00F44E52">
        <w:rPr>
          <w:rStyle w:val="Hyperlink"/>
          <w:rFonts w:ascii="Sylfaen" w:hAnsi="Sylfaen"/>
          <w:sz w:val="20"/>
          <w:szCs w:val="28"/>
          <w:lang w:val="hy-AM"/>
        </w:rPr>
        <w:t xml:space="preserve">  </w:t>
      </w:r>
      <w:r w:rsidRPr="000A4B25">
        <w:rPr>
          <w:rFonts w:ascii="Sylfaen" w:hAnsi="Sylfaen"/>
          <w:sz w:val="18"/>
          <w:szCs w:val="18"/>
          <w:lang w:val="hy-AM"/>
        </w:rPr>
        <w:t>հղումով։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E6DE4"/>
    <w:multiLevelType w:val="hybridMultilevel"/>
    <w:tmpl w:val="5E8C7D4A"/>
    <w:lvl w:ilvl="0" w:tplc="7D660F4E">
      <w:start w:val="1"/>
      <w:numFmt w:val="decimal"/>
      <w:lvlText w:val="%1."/>
      <w:lvlJc w:val="left"/>
      <w:pPr>
        <w:ind w:left="502"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AC"/>
    <w:rsid w:val="000A4B25"/>
    <w:rsid w:val="00342B7E"/>
    <w:rsid w:val="00507B20"/>
    <w:rsid w:val="00800778"/>
    <w:rsid w:val="00A23822"/>
    <w:rsid w:val="00E90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B451"/>
  <w15:chartTrackingRefBased/>
  <w15:docId w15:val="{D6D88B58-6931-458B-96FE-F9920A13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B7E"/>
    <w:rPr>
      <w:lang w:val="en"/>
    </w:rPr>
  </w:style>
  <w:style w:type="paragraph" w:styleId="Heading1">
    <w:name w:val="heading 1"/>
    <w:basedOn w:val="Normal"/>
    <w:next w:val="Normal"/>
    <w:link w:val="Heading1Char"/>
    <w:qFormat/>
    <w:rsid w:val="00342B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B7E"/>
    <w:rPr>
      <w:rFonts w:asciiTheme="majorHAnsi" w:eastAsiaTheme="majorEastAsia" w:hAnsiTheme="majorHAnsi" w:cstheme="majorBidi"/>
      <w:color w:val="2E74B5" w:themeColor="accent1" w:themeShade="BF"/>
      <w:sz w:val="32"/>
      <w:szCs w:val="32"/>
      <w:lang w:val="en"/>
    </w:rPr>
  </w:style>
  <w:style w:type="character" w:styleId="Hyperlink">
    <w:name w:val="Hyperlink"/>
    <w:basedOn w:val="DefaultParagraphFont"/>
    <w:uiPriority w:val="99"/>
    <w:unhideWhenUsed/>
    <w:rsid w:val="00342B7E"/>
    <w:rPr>
      <w:color w:val="0563C1" w:themeColor="hyperlink"/>
      <w:u w:val="single"/>
    </w:rPr>
  </w:style>
  <w:style w:type="paragraph" w:styleId="ListParagraph">
    <w:name w:val="List Paragraph"/>
    <w:aliases w:val="Bullets,List Paragraph nowy,References,Numbered List Paragraph,Bullet points,List Paragraph (numbered (a)),ReferencesCxSpLast,lp1,Numbered Paragraph,Main numbered paragraph,123 List Paragraph,Liste 1,List_Paragraph,Multilevel para_II"/>
    <w:basedOn w:val="Normal"/>
    <w:link w:val="ListParagraphChar"/>
    <w:uiPriority w:val="1"/>
    <w:qFormat/>
    <w:rsid w:val="00342B7E"/>
    <w:pPr>
      <w:ind w:left="720"/>
      <w:contextualSpacing/>
    </w:pPr>
  </w:style>
  <w:style w:type="character" w:customStyle="1" w:styleId="ListParagraphChar">
    <w:name w:val="List Paragraph Char"/>
    <w:aliases w:val="Bullets Char,List Paragraph nowy Char,References Char,Numbered List Paragraph Char,Bullet points Char,List Paragraph (numbered (a)) Char,ReferencesCxSpLast Char,lp1 Char,Numbered Paragraph Char,Main numbered paragraph Char"/>
    <w:basedOn w:val="DefaultParagraphFont"/>
    <w:link w:val="ListParagraph"/>
    <w:uiPriority w:val="1"/>
    <w:qFormat/>
    <w:locked/>
    <w:rsid w:val="00342B7E"/>
    <w:rPr>
      <w:lang w:val="en"/>
    </w:rPr>
  </w:style>
  <w:style w:type="character" w:styleId="FootnoteReference">
    <w:name w:val="footnote reference"/>
    <w:aliases w:val="ftref,Car1,Char Char,Footnote Reference Number,Footnote Reference_LVL6,Footnote Reference_LVL61,Footnote Reference_LVL62,Footnote Reference_LVL63,Footnote Reference_LVL64,16 Point,Superscript 6 Point,Знак сноски-FN,BVI fnr,Ref,fr"/>
    <w:link w:val="CarattereCarattereCharCharCharChar"/>
    <w:uiPriority w:val="99"/>
    <w:qFormat/>
    <w:rsid w:val="00342B7E"/>
    <w:rPr>
      <w:vertAlign w:val="superscript"/>
    </w:rPr>
  </w:style>
  <w:style w:type="paragraph" w:styleId="FootnoteText">
    <w:name w:val="footnote text"/>
    <w:aliases w:val="single space,FOOTNOTES,fn,ALTS FOOTNOTE,footnote text,Footnote Text Char Car Char,single space1,footnote text1,fn1,Footnote Text Char1,Footnote Text Char2 Char,Footnote Text Char2 Char Char Char,ADB,ft,f,Fußnote,Footnote ak,Footnotes"/>
    <w:basedOn w:val="Normal"/>
    <w:link w:val="FootnoteTextChar"/>
    <w:uiPriority w:val="99"/>
    <w:qFormat/>
    <w:rsid w:val="00342B7E"/>
    <w:pPr>
      <w:tabs>
        <w:tab w:val="left" w:pos="340"/>
      </w:tabs>
      <w:spacing w:after="0" w:line="200" w:lineRule="atLeast"/>
      <w:ind w:left="340" w:hanging="340"/>
    </w:pPr>
    <w:rPr>
      <w:rFonts w:ascii="Arial" w:eastAsia="Times New Roman" w:hAnsi="Arial" w:cs="Times New Roman"/>
      <w:sz w:val="14"/>
      <w:szCs w:val="20"/>
      <w:lang w:eastAsia="nl-NL"/>
    </w:rPr>
  </w:style>
  <w:style w:type="character" w:customStyle="1" w:styleId="FootnoteTextChar">
    <w:name w:val="Footnote Text Char"/>
    <w:aliases w:val="single space Char,FOOTNOTES Char,fn Char,ALTS FOOTNOTE Char,footnote text Char,Footnote Text Char Car Char Char,single space1 Char,footnote text1 Char,fn1 Char,Footnote Text Char1 Char,Footnote Text Char2 Char Char,ADB Char,ft Char"/>
    <w:basedOn w:val="DefaultParagraphFont"/>
    <w:link w:val="FootnoteText"/>
    <w:uiPriority w:val="99"/>
    <w:rsid w:val="00342B7E"/>
    <w:rPr>
      <w:rFonts w:ascii="Arial" w:eastAsia="Times New Roman" w:hAnsi="Arial" w:cs="Times New Roman"/>
      <w:sz w:val="14"/>
      <w:szCs w:val="20"/>
      <w:lang w:val="en" w:eastAsia="nl-NL"/>
    </w:rPr>
  </w:style>
  <w:style w:type="paragraph" w:customStyle="1" w:styleId="CarattereCarattereCharCharCharChar">
    <w:name w:val="Carattere Carattere Char Char Char Char"/>
    <w:aliases w:val="ftref Char Char Char Char,Char Char Char Char Char Char,Char Char Char1 Car Car Char Char Char Char Char Char Char Char Char Char Char Char Char Char Char Char Char Char Char Char,ftref Char Cha"/>
    <w:basedOn w:val="Normal"/>
    <w:next w:val="Normal"/>
    <w:link w:val="FootnoteReference"/>
    <w:uiPriority w:val="99"/>
    <w:rsid w:val="00342B7E"/>
    <w:pPr>
      <w:spacing w:line="240" w:lineRule="exact"/>
      <w:ind w:left="288"/>
      <w:jc w:val="both"/>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frr.worldbank.org/sites/default/files/2024-04/pulse_report_final_gov2021.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2fafdb60af18b5f2/PULSE/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Conceptual</c:v>
          </c:tx>
          <c:spPr>
            <a:solidFill>
              <a:schemeClr val="accent1"/>
            </a:solidFill>
            <a:ln>
              <a:noFill/>
            </a:ln>
            <a:effectLst/>
          </c:spPr>
          <c:invertIfNegative val="0"/>
          <c:dLbls>
            <c:dLbl>
              <c:idx val="0"/>
              <c:layout/>
              <c:tx>
                <c:rich>
                  <a:bodyPr/>
                  <a:lstStyle/>
                  <a:p>
                    <a:r>
                      <a:rPr lang="en-US"/>
                      <a:t>A</a:t>
                    </a:r>
                  </a:p>
                </c:rich>
              </c:tx>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A3F-4644-B098-39904D0A7F93}"/>
                </c:ext>
              </c:extLst>
            </c:dLbl>
            <c:dLbl>
              <c:idx val="1"/>
              <c:layout/>
              <c:tx>
                <c:rich>
                  <a:bodyPr/>
                  <a:lstStyle/>
                  <a:p>
                    <a:fld id="{A263EB58-BA7C-4841-B0C5-1418B0C7BEE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1-3A3F-4644-B098-39904D0A7F93}"/>
                </c:ext>
              </c:extLst>
            </c:dLbl>
            <c:dLbl>
              <c:idx val="2"/>
              <c:layout/>
              <c:tx>
                <c:rich>
                  <a:bodyPr/>
                  <a:lstStyle/>
                  <a:p>
                    <a:fld id="{61F16DD2-4670-44CC-A93C-C6BB064FA0E5}"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2-3A3F-4644-B098-39904D0A7F93}"/>
                </c:ext>
              </c:extLst>
            </c:dLbl>
            <c:dLbl>
              <c:idx val="3"/>
              <c:layout/>
              <c:tx>
                <c:rich>
                  <a:bodyPr/>
                  <a:lstStyle/>
                  <a:p>
                    <a:fld id="{18B6A6C0-3A7E-467A-8F72-30FD839C23D9}"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3-3A3F-4644-B098-39904D0A7F93}"/>
                </c:ext>
              </c:extLst>
            </c:dLbl>
            <c:dLbl>
              <c:idx val="4"/>
              <c:layout/>
              <c:tx>
                <c:rich>
                  <a:bodyPr/>
                  <a:lstStyle/>
                  <a:p>
                    <a:fld id="{6FF5B5B6-95A1-44C6-80EF-4BB92A3E0DB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4-3A3F-4644-B098-39904D0A7F93}"/>
                </c:ext>
              </c:extLst>
            </c:dLbl>
            <c:dLbl>
              <c:idx val="5"/>
              <c:layout/>
              <c:tx>
                <c:rich>
                  <a:bodyPr/>
                  <a:lstStyle/>
                  <a:p>
                    <a:fld id="{306C4E05-BCEE-49A8-9209-8DFC8D23A164}"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5-3A3F-4644-B098-39904D0A7F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cat>
            <c:strRef>
              <c:f>Лист1!$B$4:$B$9</c:f>
              <c:strCache>
                <c:ptCount val="6"/>
                <c:pt idx="0">
                  <c:v>Pillar I «PSA Framework» </c:v>
                </c:pt>
                <c:pt idx="1">
                  <c:v>Pillar II «Financial assets &amp; liabilities»</c:v>
                </c:pt>
                <c:pt idx="2">
                  <c:v>Pillar III «Non-financial assets &amp; liabilities»</c:v>
                </c:pt>
                <c:pt idx="3">
                  <c:v>Pillar IV «Expenses &amp; revenue recognition»</c:v>
                </c:pt>
                <c:pt idx="4">
                  <c:v>Pillar V «Financial reporting &amp; consolidation»</c:v>
                </c:pt>
                <c:pt idx="5">
                  <c:v>Pillar VI «Reform prerequisites and capacities»</c:v>
                </c:pt>
              </c:strCache>
            </c:strRef>
          </c:cat>
          <c:val>
            <c:numRef>
              <c:f>Лист1!$C$4:$C$9</c:f>
              <c:numCache>
                <c:formatCode>General</c:formatCode>
                <c:ptCount val="6"/>
                <c:pt idx="0">
                  <c:v>8</c:v>
                </c:pt>
                <c:pt idx="1">
                  <c:v>4</c:v>
                </c:pt>
                <c:pt idx="2">
                  <c:v>6</c:v>
                </c:pt>
                <c:pt idx="3">
                  <c:v>6</c:v>
                </c:pt>
                <c:pt idx="4">
                  <c:v>5</c:v>
                </c:pt>
                <c:pt idx="5">
                  <c:v>4</c:v>
                </c:pt>
              </c:numCache>
            </c:numRef>
          </c:val>
          <c:extLst>
            <c:ext xmlns:c15="http://schemas.microsoft.com/office/drawing/2012/chart" uri="{02D57815-91ED-43cb-92C2-25804820EDAC}">
              <c15:datalabelsRange>
                <c15:f>Лист1!$C$14:$C$19</c15:f>
                <c15:dlblRangeCache>
                  <c:ptCount val="6"/>
                  <c:pt idx="0">
                    <c:v>A</c:v>
                  </c:pt>
                  <c:pt idx="1">
                    <c:v>C+</c:v>
                  </c:pt>
                  <c:pt idx="2">
                    <c:v>B+</c:v>
                  </c:pt>
                  <c:pt idx="3">
                    <c:v>B+</c:v>
                  </c:pt>
                  <c:pt idx="4">
                    <c:v>B</c:v>
                  </c:pt>
                  <c:pt idx="5">
                    <c:v>C+</c:v>
                  </c:pt>
                </c15:dlblRangeCache>
              </c15:datalabelsRange>
            </c:ext>
            <c:ext xmlns:c16="http://schemas.microsoft.com/office/drawing/2014/chart" uri="{C3380CC4-5D6E-409C-BE32-E72D297353CC}">
              <c16:uniqueId val="{00000006-3A3F-4644-B098-39904D0A7F93}"/>
            </c:ext>
          </c:extLst>
        </c:ser>
        <c:ser>
          <c:idx val="1"/>
          <c:order val="1"/>
          <c:tx>
            <c:v>Actual</c:v>
          </c:tx>
          <c:spPr>
            <a:solidFill>
              <a:schemeClr val="accent2"/>
            </a:solidFill>
            <a:ln>
              <a:noFill/>
            </a:ln>
            <a:effectLst/>
          </c:spPr>
          <c:invertIfNegative val="0"/>
          <c:dLbls>
            <c:dLbl>
              <c:idx val="0"/>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A3F-4644-B098-39904D0A7F93}"/>
                </c:ext>
              </c:extLst>
            </c:dLbl>
            <c:dLbl>
              <c:idx val="1"/>
              <c:layout/>
              <c:tx>
                <c:rich>
                  <a:bodyPr/>
                  <a:lstStyle/>
                  <a:p>
                    <a:fld id="{35BDC9EF-9E48-4FAD-A01E-4BD4D2F942ED}"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8-3A3F-4644-B098-39904D0A7F93}"/>
                </c:ext>
              </c:extLst>
            </c:dLbl>
            <c:dLbl>
              <c:idx val="2"/>
              <c:layout/>
              <c:tx>
                <c:rich>
                  <a:bodyPr/>
                  <a:lstStyle/>
                  <a:p>
                    <a:fld id="{C9D5D5EE-0DF2-4A67-95AD-E2EC0F77A0E0}"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9-3A3F-4644-B098-39904D0A7F93}"/>
                </c:ext>
              </c:extLst>
            </c:dLbl>
            <c:dLbl>
              <c:idx val="3"/>
              <c:layout/>
              <c:tx>
                <c:rich>
                  <a:bodyPr/>
                  <a:lstStyle/>
                  <a:p>
                    <a:fld id="{0079FC75-B59B-4348-AA5D-322BD6F273AC}"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A-3A3F-4644-B098-39904D0A7F93}"/>
                </c:ext>
              </c:extLst>
            </c:dLbl>
            <c:dLbl>
              <c:idx val="4"/>
              <c:layout/>
              <c:tx>
                <c:rich>
                  <a:bodyPr/>
                  <a:lstStyle/>
                  <a:p>
                    <a:fld id="{5AEAB308-9B65-4476-94F2-E8059D81A318}"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B-3A3F-4644-B098-39904D0A7F93}"/>
                </c:ext>
              </c:extLst>
            </c:dLbl>
            <c:dLbl>
              <c:idx val="5"/>
              <c:tx>
                <c:rich>
                  <a:bodyPr/>
                  <a:lstStyle/>
                  <a:p>
                    <a:endParaRPr lang="en-US"/>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A3F-4644-B098-39904D0A7F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cat>
            <c:strRef>
              <c:f>Лист1!$B$4:$B$9</c:f>
              <c:strCache>
                <c:ptCount val="6"/>
                <c:pt idx="0">
                  <c:v>Pillar I «PSA Framework» </c:v>
                </c:pt>
                <c:pt idx="1">
                  <c:v>Pillar II «Financial assets &amp; liabilities»</c:v>
                </c:pt>
                <c:pt idx="2">
                  <c:v>Pillar III «Non-financial assets &amp; liabilities»</c:v>
                </c:pt>
                <c:pt idx="3">
                  <c:v>Pillar IV «Expenses &amp; revenue recognition»</c:v>
                </c:pt>
                <c:pt idx="4">
                  <c:v>Pillar V «Financial reporting &amp; consolidation»</c:v>
                </c:pt>
                <c:pt idx="5">
                  <c:v>Pillar VI «Reform prerequisites and capacities»</c:v>
                </c:pt>
              </c:strCache>
            </c:strRef>
          </c:cat>
          <c:val>
            <c:numRef>
              <c:f>Лист1!$D$4:$D$9</c:f>
              <c:numCache>
                <c:formatCode>General</c:formatCode>
                <c:ptCount val="6"/>
                <c:pt idx="1">
                  <c:v>4</c:v>
                </c:pt>
                <c:pt idx="2">
                  <c:v>6</c:v>
                </c:pt>
                <c:pt idx="3">
                  <c:v>6</c:v>
                </c:pt>
                <c:pt idx="4">
                  <c:v>4</c:v>
                </c:pt>
              </c:numCache>
            </c:numRef>
          </c:val>
          <c:extLst>
            <c:ext xmlns:c15="http://schemas.microsoft.com/office/drawing/2012/chart" uri="{02D57815-91ED-43cb-92C2-25804820EDAC}">
              <c15:datalabelsRange>
                <c15:f>Лист1!$D$14:$D$19</c15:f>
                <c15:dlblRangeCache>
                  <c:ptCount val="6"/>
                  <c:pt idx="1">
                    <c:v>C+</c:v>
                  </c:pt>
                  <c:pt idx="2">
                    <c:v>B+</c:v>
                  </c:pt>
                  <c:pt idx="3">
                    <c:v>B+</c:v>
                  </c:pt>
                  <c:pt idx="4">
                    <c:v>C+</c:v>
                  </c:pt>
                </c15:dlblRangeCache>
              </c15:datalabelsRange>
            </c:ext>
            <c:ext xmlns:c16="http://schemas.microsoft.com/office/drawing/2014/chart" uri="{C3380CC4-5D6E-409C-BE32-E72D297353CC}">
              <c16:uniqueId val="{0000000D-3A3F-4644-B098-39904D0A7F93}"/>
            </c:ext>
          </c:extLst>
        </c:ser>
        <c:dLbls>
          <c:showLegendKey val="0"/>
          <c:showVal val="0"/>
          <c:showCatName val="0"/>
          <c:showSerName val="0"/>
          <c:showPercent val="0"/>
          <c:showBubbleSize val="0"/>
        </c:dLbls>
        <c:gapWidth val="150"/>
        <c:axId val="2137324656"/>
        <c:axId val="2137327376"/>
      </c:barChart>
      <c:catAx>
        <c:axId val="21373246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7327376"/>
        <c:crosses val="autoZero"/>
        <c:auto val="1"/>
        <c:lblAlgn val="ctr"/>
        <c:lblOffset val="100"/>
        <c:noMultiLvlLbl val="0"/>
      </c:catAx>
      <c:valAx>
        <c:axId val="213732737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1373246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Alaverdyan</dc:creator>
  <cp:keywords>https://mul2-minfin.gov.am/tasks/886279/oneclick/Ex_summary.docx?token=c387d2c7761414aa776d97d4ca2758f5</cp:keywords>
  <dc:description/>
  <cp:lastModifiedBy>Karen Alaverdyan</cp:lastModifiedBy>
  <cp:revision>6</cp:revision>
  <dcterms:created xsi:type="dcterms:W3CDTF">2024-09-23T06:52:00Z</dcterms:created>
  <dcterms:modified xsi:type="dcterms:W3CDTF">2024-09-23T06:57:00Z</dcterms:modified>
</cp:coreProperties>
</file>